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Many applications use a mix of several languages in their construction and use.</w:t>
        <w:br/>
        <w:t>Some languages are more prone to some kinds of faults because their specification does not require compilers to perform as much checking as other languages.</w:t>
        <w:br/>
        <w:t>Provided the functions in a library follow the appropriate run-time conventions (e.g., method of passing arguments), then these functions may be written in any other language.</w:t>
        <w:br/>
        <w:t>For this purpose, algorithms are classified into orders using so-called Big O notation, which expresses resource use, such as execution time or memory consumption, in terms of the size of an input.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Some text editors such as Emacs allow GDB to be invoked through them, to provide a visual environment.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Provided the functions in a library follow the appropriate run-time conventions (e.g., method of passing arguments), then these functions may be written in any other language.</w:t>
        <w:br/>
        <w:t>However, because an assembly language is little more than a different notation for a machine language,  two machines with different instruction sets also have different assembly languages.</w:t>
        <w:br/>
        <w:t>This is interpreted into machine code.</w:t>
        <w:br/>
        <w:t>Compilers harnessed the power of computers to make programming easier by allowing programmers to specify calculations by entering a formula using infix notation.</w:t>
        <w:br/>
        <w:t>However, Charles Babbage had already written his first program for the Analytical Engine in 1837.</w:t>
        <w:br/>
        <w:t>The Unified Modeling Language (UML) is a notation used for both the OOAD and MDA.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