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Compilers harnessed the power of computers to make programming easier by allowing programmers to specify calculations by entering a formula using infix notation.</w:t>
        <w:br/>
        <w:t>Ideally, the programming language best suited for the task at hand will be selected.</w:t>
        <w:br/>
        <w:t>For example, COBOL is still strong in corporate data centers often on large mainframe computers, Fortran in engineering applications, scripting languages in Web development, and C in embedded software.</w:t>
        <w:br/>
        <w:t>Transpiling on the other hand, takes the source-code from a high-level programming language and converts it into bytecode.</w:t>
        <w:br/>
        <w:t>Programming languages are essential for software development.</w:t>
        <w:br/>
        <w:t>Text editors were also developed that allowed changes and corrections to be made much more easily than with punched cards.</w:t>
        <w:br/>
        <w:t>One approach popular for requirements analysis is Use Case analysis.</w:t>
        <w:br/>
        <w:t>The choice of language used is subject to many considerations, such as company policy, suitability to task, availability of third-party packages, or individual preference.</w:t>
        <w:br/>
        <w:t>A study found that a few simple readability transformations made code shorter and drastically reduced the time to understand it.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Programmable devices have existed for centuries.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Some text editors such as Emacs allow GDB to be invoked through them, to provide a visual environment.</w:t>
        <w:br/>
        <w:t>Some text editors such as Emacs allow GDB to be invoked through them, to provide a visual environment.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