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It affects the aspects of quality above, including portability, usability and most importantly maintainability.</w:t>
        <w:br/>
        <w:t>Provided the functions in a library follow the appropriate run-time conventions (e.g., method of passing arguments), then these functions may be written in any other language.</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By the late 1960s, data storage devices and computer terminals became inexpensive enough that programs could be created by typing directly into the computers.</w:t>
        <w:br/>
        <w:t>Techniques like Code refactoring can enhance readability.</w:t>
        <w:br/>
        <w:t>Trial-and-error/divide-and-conquer is needed: the programmer will try to remove some parts of the original test case and check if the problem still exists.</w:t>
        <w:br/>
        <w:t>Text editors were also developed that allowed changes and corrections to be made much more easily than with punched cards.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