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br/>
        <w:t>Some languages are more prone to some kinds of faults because their specification does not require compilers to perform as much checking as other languages.</w:t>
        <w:br/>
        <w:t>Text editors were also developed that allowed changes and corrections to be made much more easily than with punched cards.</w:t>
        <w:br/>
        <w:t>However, with the concept of the stored-program computer introduced in 1949, both programs and data were stored and manipulated in the same way in computer memory.</w:t>
        <w:br/>
        <w:t>In the 9th century, the Arab mathematician Al-Kindi described a cryptographic algorithm for deciphering encrypted code, in A Manuscript on Deciphering Cryptographic Messages.</w:t>
        <w:br/>
        <w:t>Compilers harnessed the power of computers to make programming easier by allowing programmers to specify calculations by entering a formula using infix notation.</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The following properties are among the most important:</w:t>
        <w:br/>
        <w:br/>
        <w:t xml:space="preserve"> In computer programming, readability refers to the ease with which a human reader can comprehend the purpose, control flow, and operation of source code.</w:t>
        <w:br/>
        <w:t>Techniques like Code refactoring can enhance readability.</w:t>
        <w:br/>
        <w:br/>
        <w:t>The first compiler related tool, the A-0 System, was developed in 1952 by Grace Hopper, who also coined the term 'compiler'.</w:t>
        <w:br/>
        <w:t xml:space="preserve"> Various visual programming languages have also been developed with the intent to resolve readability concerns by adopting non-traditional approaches to code structure and display.</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