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Trade-offs from this ideal involve finding enough programmers who know the language to build a team, the availability of compilers for that language, and the efficiency with which programs written in a given language execute.</w:t>
        <w:br/>
        <w:t>Trial-and-error/divide-and-conquer is needed: the programmer will try to remove some parts of the original test case and check if the problem still exists.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Assembly languages were soon developed that let the programmer specify instruction in a text format (e.g., ADD X, TOTAL), with abbreviations for each operation code and meaningful names for specifying addresses.</w:t>
        <w:br/>
        <w:t xml:space="preserve"> Machine code was the language of early programs, written in the instruction set of the particular machine, often in binary notation.</w:t>
        <w:br/>
        <w:t>However, because an assembly language is little more than a different notation for a machine language,  two machines with different instruction sets also have different assembly languages.</w:t>
        <w:br/>
        <w:t>The choice of language used is subject to many considerations, such as company policy, suitability to task, availability of third-party packages, or individual preference.</w:t>
        <w:br/>
        <w:t xml:space="preserve"> Popular modeling techniques include Object-Oriented Analysis and Design (OOAD) and Model-Driven Architecture (MDA).</w:t>
        <w:br/>
        <w:t xml:space="preserve"> The first step in most formal software development processes is requirements analysis, followed by testing to determine value modeling, implementation, and failure elimination (debugging).</w:t>
        <w:br/>
        <w:t xml:space="preserve"> Readability is important because programmers spend the majority of their time reading, trying to understand, reusing and modifying existing source code, rather than writing new source code.</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