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However, because an assembly language is little more than a different notation for a machine language,  two machines with different instruction sets also have different assembly languages.</w:t>
        <w:br/>
        <w:t>He gave the first description of cryptanalysis by frequency analysis, the earliest code-breaking algorithm.</w:t>
        <w:br/>
        <w:t>This is interpreted into machine code.</w:t>
        <w:br/>
        <w:t>Techniques like Code refactoring can enhance readability.</w:t>
        <w:br/>
        <w:t>Some text editors such as Emacs allow GDB to be invoked through them, to provide a visual environment.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To produce machine code, the source code must either be compiled or transpiled.</w:t>
        <w:br/>
        <w:t>There are many approaches to the Software development process.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