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This is interpreted into machine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1206, the Arab engineer Al-Jazari invented a programmable drum machine where a musical mechanical automaton could be made to play different rhythms and drum patterns, via pegs and cams.</w:t>
        <w:br/>
        <w:t>However, because an assembly language is little more than a different notation for a machine language,  two machines with different instruction sets also have different assembly languages.</w:t>
        <w:br/>
        <w:t>Many factors, having little or nothing to do with the ability of the computer to efficiently compile and execute the code, contribute to readability.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One approach popular for requirements analysis is Use Case analysis.</w:t>
        <w:br/>
        <w:t>By the late 1960s, data storage devices and computer terminals became inexpensive enough that programs could be created by typing directly into the computers.</w:t>
        <w:br/>
        <w:t>However, readability is more than just programming style.</w:t>
        <w:br/>
        <w:t>However, Charles Babbage had already written his first program for the Analytical Engine in 1837.</w:t>
        <w:br/>
        <w:t>However, Charles Babbage had already written his first program for the Analytical Engine in 1837.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