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Ideally, the programming language best suited for the task at hand will be selected.</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 xml:space="preserve"> Implementation techniques include imperative languages (object-oriented or procedural), functional languages, and logic languages.</w:t>
        <w:br/>
        <w:t>Proficient programming thus usually requires expertise in several different subjects, including knowledge of the application domain, specialized algorithms, and formal logic.</w:t>
        <w:br/>
        <w:t xml:space="preserve"> Various visual programming languages have also been developed with the intent to resolve readability concerns by adopting non-traditional approaches to code structure and display.</w:t>
        <w:br/>
        <w:t xml:space="preserve"> After the bug is reproduced, the input of the program may need to be simplified to make it easier to debug.</w:t>
        <w:br/>
        <w:t>As early as the 9th century, a programmable music sequencer was invented by the Persian Banu Musa brothers, who described an automated mechanical flute player in the Book of Ingenious Devices.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