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Compiling takes the source code from a low-level programming language and converts it into machine code.</w:t>
        <w:br/>
        <w:t>This can be a non-trivial task, for example as with parallel processes or some unusual software bugs.</w:t>
        <w:br/>
        <w:t>This is interpreted into machine code.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However, readability is more than just programming style.</w:t>
        <w:br/>
        <w:t>The following properties are among the most important:</w:t>
        <w:br/>
        <w:br/>
        <w:t xml:space="preserve"> In computer programming, readability refers to the ease with which a human reader can comprehend the purpose, control flow, and operation of source code.</w:t>
        <w:br/>
        <w:t>Many factors, having little or nothing to do with the ability of the computer to efficiently compile and execute the code, contribute to readability.</w:t>
        <w:br/>
        <w:t>Scripting and breakpointing is also part of this process.</w:t>
        <w:br/>
        <w:t xml:space="preserve"> Debugging is a very important task in the software development process since having defects in a program can have significant consequences for its users.</w:t>
        <w:br/>
        <w:t>It affects the aspects of quality above, including portability, usability and most importantly maintainability.</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They are the building blocks for all software, from the simplest applications to the most sophisticated ones.</w:t>
        <w:br/>
        <w:t xml:space="preserve"> Programmable devices have existed for centuries.</w:t>
        <w:br/>
        <w:t>By the late 1960s, data storage devices and computer terminals became inexpensive enough that programs could be created by typing directly into the computers.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