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Use of a static code analysis tool can help detect some possible problems.</w:t>
        <w:br/>
        <w:t>Assembly languages were soon developed that let the programmer specify instruction in a text format (e.g., ADD X, TOTAL), with abbreviations for each operation code and meaningful names for specifying addresses.</w:t>
        <w:br/>
        <w:t>Techniques like Code refactoring can enhance readability.</w:t>
        <w:br/>
        <w:t>By the late 1960s, data storage devices and computer terminals became inexpensive enough that programs could be created by typing directly into the computers.</w:t>
        <w:br/>
        <w:t>Programming involves tasks such as analysis, generating algorithms, profiling algorithms' accuracy and resource consumption, and the implementation of algorithms (usually in a particular programming language, commonly referred to as coding).</w:t>
        <w:br/>
        <w:t>Many factors, having little or nothing to do with the ability of the computer to efficiently compile and execute the code, contribute to readability.</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Some text editors such as Emacs allow GDB to be invoked through them, to provide a visual environment.</w:t>
        <w:br/>
        <w:t>Expert programmers are familiar with a variety of well-established algorithms and their respective complexities and use this knowledge to choose algorithms that are best suited to the circumstances.</w:t>
        <w:br/>
        <w:t>In 1801, the Jacquard loom could produce entirely different weaves by changing the "program" – a series of pasteboard cards with holes punched in them.</w:t>
        <w:br/>
        <w:t>For this purpose, algorithms are classified into orders using so-called Big O notation, which expresses resource use, such as execution time or memory consumption, in terms of the size of an input.</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