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In the 9th century, the Arab mathematician Al-Kindi described a cryptographic algorithm for deciphering encrypted code, in A Manuscript on Deciphering Cryptographic Messages.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Compiling takes the source code from a low-level programming language and converts it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Many factors, having little or nothing to do with the ability of the computer to efficiently compile and execute the code, contribute to readability.</w:t>
        <w:br/>
        <w:br/>
        <w:t xml:space="preserve"> Different programming languages support different styles of programming (called programming paradigms).</w:t>
        <w:br/>
        <w:t>Techniques like Code refactoring can enhance readability.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