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Compiling takes the source code from a low-level programming language and converts it into machine code.</w:t>
        <w:br/>
        <w:t>However, with the concept of the stored-program computer introduced in 1949, both programs and data were stored and manipulated in the same way in computer memory.</w:t>
        <w:br/>
        <w:t>Proficient programming thus usually requires expertise in several different subjects, including knowledge of the application domain, specialized algorithms, and formal logic.</w:t>
        <w:br/>
        <w:t>However, readability is more than just programming style.</w:t>
        <w:br/>
        <w:t>There exist a lot of different approaches for each of those tasks.</w:t>
        <w:br/>
        <w:t>Programming languages are essential for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It is usually easier to code in "high-level" languages than in "low-level" ones.</w:t>
        <w:br/>
        <w:t>However, because an assembly language is little more than a different notation for a machine language,  two machines with different instruction sets also have different assembly languages.</w:t>
        <w:br/>
        <w:t>Use of a static code analysis tool can help detect some possible problems.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Ideally, the programming language best suited for the task at hand will be selected.</w:t>
        <w:br/>
        <w:t xml:space="preserve"> Code-breaking algorithms have also existed for centuries.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