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When debugging the problem in a GUI, the programmer can try to skip some user interaction from the original problem description and check if remaining actions are sufficient for bugs to appear.</w:t>
        <w:br/>
        <w:t>To produce machine code, the source code must either be compiled or transpiled.</w:t>
        <w:br/>
        <w:t>Proficient programming thus usually requires expertise in several different subjects, including knowledge of the application domain, specialized algorithms, and formal logic.</w:t>
        <w:br/>
        <w:t>There are many approaches to the Software development process.</w:t>
        <w:br/>
        <w:t>Some text editors such as Emacs allow GDB to be invoked through them, to provide a visual environment.</w:t>
        <w:br/>
        <w:t>However, because an assembly language is little more than a different notation for a machine language,  two machines with different instruction sets also have different assembly languages.</w:t>
        <w:br/>
        <w:t>In 1801, the Jacquard loom could produce entirely different weaves by changing the "program" – a series of pasteboard cards with holes punched in them.</w:t>
        <w:br/>
        <w:t>Use of a static code analysis tool can help detect some possible problems.</w:t>
        <w:br/>
        <w:t>Assembly languages were soon developed that let the programmer specify instruction in a text format (e.g., ADD X, TOTAL), with abbreviations for each operation code and meaningful names for specifying addresses.</w:t>
        <w:br/>
        <w:t>Integrated development environments (IDEs) aim to integrate all such help.</w:t>
        <w:br/>
        <w:t>When debugging the problem in a GUI, the programmer can try to skip some user interaction from the original problem description and check if remaining actions are sufficient for bugs to appear.</w:t>
        <w:br/>
        <w:t xml:space="preserve"> Whatever the approach to development may be, the final program must satisfy some fundamental properties.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