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>Provided the functions in a library follow the appropriate run-time conventions (e.g., method of passing arguments), then these functions may be written in any other language.</w:t>
        <w:br/>
        <w:t>One approach popular for requirements analysis is Use Case analysis.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>The choice of language used is subject to many considerations, such as company policy, suitability to task, availability of third-party packages, or individual preference.</w:t>
        <w:br/>
        <w:t>However, with the concept of the stored-program computer introduced in 1949, both programs and data were stored and manipulated in the same way in computer memory.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Text editors were also developed that allowed changes and corrections to be made much more easily than with punched cards.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