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He gave the first description of cryptanalysis by frequency analysis, the earliest code-breaking algorithm.</w:t>
        <w:br/>
        <w:t>Integrated development environments (IDEs) aim to integrate all such help.</w:t>
        <w:br/>
        <w:t>Some text editors such as Emacs allow GDB to be invoked through them, to provide a visual environment.</w:t>
        <w:br/>
        <w:t>Compilers harnessed the power of computers to make programming easier by allowing programmers to specify calculations by entering a formula using infix notation.</w:t>
        <w:br/>
        <w:t>Some text editors such as Emacs allow GDB to be invoked through them, to provide a visual environment.</w:t>
        <w:br/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 xml:space="preserve"> Whatever the approach to development may be, the final program must satisfy some fundamental properties.</w:t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