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The choice of language used is subject to many considerations, such as company policy, suitability to task, availability of third-party packages, or individual preference.</w:t>
        <w:br/>
        <w:t>For example, COBOL is still strong in corporate data centers often on large mainframe computers, Fortran in engineering applications, scripting languages in Web development, and C in embedded software.</w:t>
        <w:br/>
        <w:t>For example, COBOL is still strong in corporate data centers often on large mainframe computers, Fortran in engineering applications, scripting languages in Web development, and C in embedded software.</w:t>
        <w:br/>
        <w:t>The Unified Modeling Language (UML) is a notation used for both the OOAD and MDA.</w:t>
        <w:br/>
        <w:t>Many factors, having little or nothing to do with the ability of the computer to efficiently compile and execute the code, contribute to readability.</w:t>
        <w:br/>
        <w:t>He gave the first description of cryptanalysis by frequency analysis, the earliest code-breaking algorithm.</w:t>
        <w:br/>
        <w:t>Use of a static code analysis tool can help detect some possible problems.</w:t>
        <w:br/>
        <w:t>Many programmers use forms of Agile software development where the various stages of formal software development are more integrated together into short cycles that take a few weeks rather than years.</w:t>
        <w:br/>
        <w:t>Many applications use a mix of several languages in their construction and use.</w:t>
        <w:br/>
        <w:t>Assembly languages were soon developed that let the programmer specify instruction in a text format (e.g., ADD X, TOTAL), with abbreviations for each operation code and meaningful names for specifying addresses.</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Tasks accompanying and related to programming include testing, debugging, source code maintenance, implementation of build systems, and management of derived artifacts, such as the machine code of computer programs.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