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Programming languages are essential for software development.</w:t>
        <w:br/>
        <w:t>Compiling takes the source code from a low-level programming language and converts it into machine code.</w:t>
        <w:br/>
        <w:t>However, Charles Babbage had already written his first program for the Analytical Engine in 1837.</w:t>
        <w:br/>
        <w:t>Expert programmers are familiar with a variety of well-established algorithms and their respective complexities and use this knowledge to choose algorithms that are best suited to the circumstances.</w:t>
        <w:br/>
        <w:t>Integrated development environments (IDEs) aim to integrate all such help.</w:t>
        <w:br/>
        <w:t>There exist a lot of different approaches for each of those tasks.</w:t>
        <w:br/>
        <w:t>The following properties are among the most important:</w:t>
        <w:br/>
        <w:br/>
        <w:t xml:space="preserve"> In computer programming, readability refers to the ease with which a human reader can comprehend the purpose, control flow, and operation of source code.</w:t>
        <w:br/>
        <w:t>For example, COBOL is still strong in corporate data centers often on large mainframe computers, Fortran in engineering applications, scripting languages in Web development, and C in embedded software.</w:t>
        <w:br/>
        <w:t>Trade-offs from this ideal involve finding enough programmers who know the language to build a team, the availability of compilers for that language, and the efficiency with which programs written in a given language execute.</w:t>
        <w:br/>
        <w:t xml:space="preserve"> High-level languages made the process of developing a program simpler and more understandable, and less bound to the underlying hardware.</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