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However, readability is more than just programming style.</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There exist a lot of different approaches for each of those tasks.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