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The Unified Modeling Language (UML) is a notation used for both the OOAD and MDA.</w:t>
        <w:br/>
        <w:t>However, with the concept of the stored-program computer introduced in 1949, both programs and data were stored and manipulated in the same way in computer memory.</w:t>
        <w:br/>
        <w:t>In 1801, the Jacquard loom could produce entirely different weaves by changing the "program" – a series of pasteboard cards with holes punched in them.</w:t>
        <w:br/>
        <w:t>Proficient programming thus usually requires expertise in several different subjects, including knowledge of the application domain, specialized algorithms, and formal logic.</w:t>
        <w:br/>
        <w:t>The choice of language used is subject to many considerations, such as company policy, suitability to task, availability of third-party packages, or individual preference.</w:t>
        <w:br/>
        <w:t>Also, specific user environment and usage history can make it difficult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After the bug is reproduced, the input of the program may need to be simplified to make it easier to debug.</w:t>
        <w:br/>
        <w:t xml:space="preserve"> Whatever the approach to development may be, the final program must satisfy some fundamental properties.</w:t>
        <w:br/>
        <w:t xml:space="preserve"> Machine code was the language of early programs, written in the instruction set of the particular machine, often in binary notation.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