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purpose of programming is to find a sequence of instructions that will automate the performance of a task (which can be as complex as an operating system) on a computer, often for solving a given problem.</w:t>
        <w:br/>
        <w:t>Some text editors such as Emacs allow GDB to be invoked through them, to provide a visual environment.</w:t>
        <w:br/>
        <w:t>Transpiling on the other hand, takes the source-code from a high-level programming language and converts it into bytecode.</w:t>
        <w:br/>
        <w:t>They are the building blocks for all software, from the simplest applications to the most sophisticated ones.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However, Charles Babbage had already written his first program for the Analytical Engine in 1837.</w:t>
        <w:br/>
        <w:t>Techniques like Code refactoring can enhance readability.</w:t>
        <w:br/>
        <w:t>Normally the first step in debugging is to attempt to reproduce the problem.</w:t>
        <w:br/>
        <w:t>It is usually easier to code in "high-level" languages than in "low-level" ones.</w:t>
        <w:br/>
        <w:t>Compilers harnessed the power of computers to make programming easier by allowing programmers to specify calculations by entering a formula using infix notation.</w:t>
        <w:br/>
        <w:t>Many applications use a mix of several languages in their construction and use.</w:t>
        <w:br/>
        <w:t xml:space="preserve"> Different programming languages support different styles of programming (called programming paradigms).</w:t>
        <w:br/>
        <w:t xml:space="preserve"> Machine code was the language of early programs, written in the instruction set of the particular machine, often in binary notation.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However, because an assembly language is little more than a different notation for a machine language,  two machines with different instruction sets also have different assembly languages.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