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br/>
        <w:t>For example, when a bug in a compiler can make it crash when parsing some large source file, a simplification of the test case that results in only few lines from the original source file can be sufficient to reproduce the same crash.</w:t>
        <w:br/>
        <w:t>FORTRAN, the first widely used high-level language to have a functional implementation, came out in 1957, and many other languages were soon developed—in particular, COBOL aimed at commercial data processing, and Lisp for computer research.</w:t>
        <w:br/>
        <w:t>Use of a static code analysis tool can help detect some possible problems.</w:t>
        <w:br/>
        <w:t>Ideally, the programming language best suited for the task at hand will be selected.</w:t>
        <w:br/>
        <w:t>Many applications use a mix of several languages in their construction and use.</w:t>
        <w:br/>
        <w:t>Provided the functions in a library follow the appropriate run-time conventions (e.g., method of passing arguments), then these functions may be written in any other language.</w:t>
        <w:br/>
        <w:t>This can be a non-trivial task, for example as with parallel processes or some unusual software bugs.</w:t>
        <w:br/>
        <w:t>Programming languages are essential for software development.</w:t>
        <w:br/>
        <w:t>In 1206, the Arab engineer Al-Jazari invented a programmable drum machine where a musical mechanical automaton could be made to play different rhythms and drum patterns, via pegs and cams.</w:t>
        <w:br/>
        <w:t>To produce machine code, the source code must either be compiled or transpiled.</w:t>
        <w:br/>
        <w:t>Unreadable code often leads to bugs, inefficiencies, and duplicated code.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