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However, with the concept of the stored-program computer introduced in 1949, both programs and data were stored and manipulated in the same way in computer memory.</w:t>
        <w:br/>
        <w:t>There exist a lot of different approaches for each of those tasks.</w:t>
        <w:br/>
        <w:t>Expert programmers are familiar with a variety of well-established algorithms and their respective complexities and use this knowledge to choose algorithms that are best suited to the circumstances.</w:t>
        <w:br/>
        <w:t>Scripting and breakpointing is also part of this process.</w:t>
        <w:br/>
        <w:t>Provided the functions in a library follow the appropriate run-time conventions (e.g., method of passing arguments), then these functions may be written in any other language.</w:t>
        <w:br/>
        <w:t>Proficient programming thus usually requires expertise in several different subjects, including knowledge of the application domain, specialized algorithms, and formal logic.</w:t>
        <w:br/>
        <w:t>Expert programmers are familiar with a variety of well-established algorithms and their respective complexities and use this knowledge to choose algorithms that are best suited to the circumstances.</w:t>
        <w:br/>
        <w:t>It affects the aspects of quality above, including portability, usability and most importantly maintainability.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Relatedly, software engineering combines engineering techniques and principles with software development.</w:t>
        <w:br/>
        <w:t>Provided the functions in a library follow the appropriate run-time conventions (e.g., method of passing arguments), then these functions may be written in any other language.</w:t>
        <w:br/>
        <w:t>Provided the functions in a library follow the appropriate run-time conventions (e.g., method of passing arguments), then these functions may be written in any other language.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