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There exist a lot of different approaches for each of those tasks.</w:t>
        <w:br/>
        <w:t>The following properties are among the most important:</w:t>
        <w:br/>
        <w:br/>
        <w:t xml:space="preserve"> In computer programming, readability refers to the ease with which a human reader can comprehend the purpose, control flow, and operation of source code.</w:t>
        <w:br/>
        <w:t>This can be a non-trivial task, for example as with parallel processes or some unusual software bugs.</w:t>
        <w:br/>
        <w:t>However, Charles Babbage had already written his first program for the Analytical Engine in 1837.</w:t>
        <w:br/>
        <w:t>Provided the functions in a library follow the appropriate run-time conventions (e.g., method of passing arguments), then these functions may be written in any other language.</w:t>
        <w:br/>
        <w:t>Use of a static code analysis tool can help detect some possible problems.</w:t>
        <w:br/>
        <w:t>As early as the 9th century, a programmable music sequencer was invented by the Persian Banu Musa brothers, who described an automated mechanical flute player in the Book of Ingenious Devices.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with the concept of the stored-program computer introduced in 1949, both programs and data were stored and manipulated in the same way in computer memory.</w:t>
        <w:br/>
        <w:t>For example, when a bug in a compiler can make it crash when parsing some large source file, a simplification of the test case that results in only few lines from the original source file can be sufficient to reproduce the same crash.</w:t>
        <w:br/>
        <w:t>Languages form an approximate spectrum from "low-level" to "high-level"; "low-level" languages are typically more machine-oriented and faster to execute, whereas "high-level" languages are more abstract and easier to use but execute less quickly.</w:t>
        <w:br/>
        <w:t>For example, when a bug in a compiler can make it crash when parsing some large source file, a simplification of the test case that results in only few lines from the original source file can be sufficient to reproduce the same crash.</w:t>
        <w:br/>
        <w:t>However, because an assembly language is little more than a different notation for a machine language,  two machines with different instruction sets also have different assembly languages.</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