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As early as the 9th century, a programmable music sequencer was invented by the Persian Banu Musa brothers, who described an automated mechanical flute player in the Book of Ingenious Devices.</w:t>
        <w:br/>
        <w:t>Use of a static code analysis tool can help detect some possible problems.</w:t>
        <w:br/>
        <w:t>There exist a lot of different approaches for each of those tasks.</w:t>
        <w:br/>
        <w:t>For this purpose, algorithms are classified into orders using so-called Big O notation, which expresses resource use, such as execution time or memory consumption, in terms of the size of an input.</w:t>
        <w:br/>
        <w:t>Text editors were also developed that allowed changes and corrections to be made much more easily than with punched cards.</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When debugging the problem in a GUI, the programmer can try to skip some user interaction from the original problem description and check if remaining actions are sufficient for bugs to appear.</w:t>
        <w:br/>
        <w:t>It is usually easier to code in "high-level" languages than in "low-level" ones.</w:t>
        <w:br/>
        <w:t xml:space="preserve"> Whatever the approach to development may be, the final program must satisfy some fundamental properties.</w:t>
        <w:br/>
        <w:t>Assembly languages were soon developed that let the programmer specify instruction in a text format (e.g., ADD X, TOTAL), with abbreviations for each operation code and meaningful names for specifying addresses.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