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He gave the first description of cryptanalysis by frequency analysis, the earliest code-breaking algorithm.</w:t>
        <w:br/>
        <w:t>Text editors were also developed that allowed changes and corrections to be made much more easily than with punched cards.</w:t>
        <w:br/>
        <w:t>Scripting and breakpointing is also part of this process.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Assembly languages were soon developed that let the programmer specify instruction in a text format (e.g., ADD X, TOTAL), with abbreviations for each operation code and meaningful names for specifying addresses.</w:t>
        <w:br/>
        <w:t>By the late 1960s, data storage devices and computer terminals became inexpensive enough that programs could be created by typing directly into the computers.</w:t>
        <w:br/>
        <w:t>It is usually easier to code in "high-level" languages than in "low-level" ones.</w:t>
        <w:br/>
        <w:t>Some languages are more prone to some kinds of faults because their specification does not require compilers to perform as much checking as other languages.</w:t>
        <w:br/>
        <w:t>Transpiling on the other hand, takes the source-code from a high-level programming language and converts it into bytecode.</w:t>
        <w:br/>
        <w:t xml:space="preserve"> Implementation techniques include imperative languages (object-oriented or procedural), functional languages, and logic languages.</w:t>
        <w:br/>
        <w:t>Programming languages are essential for software development.</w:t>
        <w:br/>
        <w:t xml:space="preserve"> Code-breaking algorithms have also existed for centuries.</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