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The source code of a program is written in one or more languages that are intelligible to programmers, rather than machine code, which is directly executed by the central processing unit.</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Assembly languages were soon developed that let the programmer specify instruction in a text format (e.g., ADD X, TOTAL), with abbreviations for each operation code and meaningful names for specifying addresses.</w:t>
        <w:br/>
        <w:t>Compiling takes the source code from a low-level programming language and converts it into machine code.</w:t>
        <w:br/>
        <w:t>For example, COBOL is still strong in corporate data centers often on large mainframe computers, Fortran in engineering applications, scripting languages in Web development, and C in embedded software.</w:t>
        <w:br/>
        <w:t>Use of a static code analysis tool can help detect some possible problems.</w:t>
        <w:br/>
        <w:t>Assembly languages were soon developed that let the programmer specify instruction in a text format (e.g., ADD X, TOTAL), with abbreviations for each operation code and meaningful names for specifying addresses.</w:t>
        <w:br/>
        <w:t>There exist a lot of different approaches for each of those tasks.</w:t>
        <w:br/>
        <w:t xml:space="preserve"> Some languages are very popular for particular kinds of applications, while some languages are regularly used to write many different kinds of applications.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