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Normally the first step in debugging is to attempt to reproduce the problem.</w:t>
        <w:br/>
        <w:t>The Unified Modeling Language (UML) is a notation used for both the OOAD and MDA.</w:t>
        <w:br/>
        <w:t>By the late 1960s, data storage devices and computer terminals became inexpensive enough that programs could be created by typing directly into the computers.</w:t>
        <w:br/>
        <w:t>There exist a lot of different approaches for each of those tasks.</w:t>
        <w:br/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>Compiling takes the source code from a low-level programming language and converts it into machine code.</w:t>
        <w:br/>
        <w:t>The choice of language used is subject to many considerations, such as company policy, suitability to task, availability of third-party packages, or individual preference.</w:t>
        <w:br/>
        <w:t>However, with the concept of the stored-program computer introduced in 1949, both programs and data were stored and manipulated in the same way in computer memory.</w:t>
        <w:br/>
        <w:t>In the 9th century, the Arab mathematician Al-Kindi described a cryptographic algorithm for deciphering encrypted code, in A Manuscript on Deciphering Cryptographic Messages.</w:t>
        <w:br/>
        <w:t xml:space="preserve"> Following a consistent programming style often helps readability.</w:t>
        <w:br/>
        <w:t xml:space="preserve"> High-level languages made the process of developing a program simpler and more understandable, and less bound to the underlying hardware.</w:t>
        <w:br/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