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However, because an assembly language is little more than a different notation for a machine language,  two machines with different instruction sets also have different assembly languages.</w:t>
        <w:br/>
        <w:t>It affects the aspects of quality above, including portability, usability and most importantly maintainability.</w:t>
        <w:br/>
        <w:t>Also, those involved with software development may at times engage in reverse engineering, which is the practice of seeking to understand an existing program so as to re-implement its function in some way.</w:t>
        <w:br/>
        <w:t>Use of a static code analysis tool can help detect some possible problems.</w:t>
        <w:br/>
        <w:t>It is usually easier to code in "high-level" languages than in "low-level" ones.</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languages are more prone to some kinds of faults because their specification does not require compilers to perform as much checking as other languages.</w:t>
        <w:br/>
        <w:t>In the 9th century, the Arab mathematician Al-Kindi described a cryptographic algorithm for deciphering encrypted code, in A Manuscript on Deciphering Cryptographic Messages.</w:t>
        <w:br/>
        <w:t xml:space="preserve"> Computer programmers are those who write computer software.</w:t>
        <w:br/>
        <w:t>Many programmers use forms of Agile software development where the various stages of formal software development are more integrated together into short cycles that take a few weeks rather than years.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To produce machine code, the source code must either be compiled or transpiled.</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