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It is usually easier to code in "high-level" languages than in "low-level" ones.</w:t>
        <w:br/>
        <w:t xml:space="preserve"> Code-breaking algorithms have also existed for centuries.</w:t>
        <w:br/>
        <w:t xml:space="preserve"> High-level languages made the process of developing a program simpler and more understandable, and less bound to the underlying hardware.</w:t>
        <w:br/>
        <w:t>Techniques like Code refactoring can enhance readability.</w:t>
        <w:br/>
        <w:t xml:space="preserve"> Different programming languages support different styles of programming (called programming paradigms).</w:t>
        <w:br/>
        <w:t xml:space="preserve"> Allen Downey, in his book How To Think Like A Computer Scientist, writes:</w:t>
        <w:br/>
        <w:t xml:space="preserve"> Many computer languages provide a mechanism to call functions provided by shared libraries.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