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Unreadable code often leads to bugs, inefficiencies, and duplicated code.</w:t>
        <w:br/>
        <w:t>However, because an assembly language is little more than a different notation for a machine language,  two machines with different instruction sets also have different assembly languages.</w:t>
        <w:br/>
        <w:t>Integrated development environments (IDEs) aim to integrate all such help.</w:t>
        <w:br/>
        <w:t>Also, specific user environment and usage history can make it difficult to reproduce the problem.</w:t>
        <w:br/>
        <w:t>Programming languages are essential for software development.</w:t>
        <w:br/>
        <w:t>There are many approaches to the Software development process.</w:t>
        <w:br/>
        <w:t>Text editors were also developed that allowed changes and corrections to be made much more easily than with punched cards.</w:t>
        <w:br/>
        <w:t>However, with the concept of the stored-program computer introduced in 1949, both programs and data were stored and manipulated in the same way in computer memory.</w:t>
        <w:br/>
        <w:t>He gave the first description of cryptanalysis by frequency analysis, the earliest code-breaking algorithm.</w:t>
        <w:br/>
        <w:t>They are the building blocks for all software, from the simplest applications to the most sophisticated ones.</w:t>
        <w:br/>
        <w:t>Some languages are more prone to some kinds of faults because their specification does not require compilers to perform as much checking as other languages.</w:t>
        <w:br/>
        <w:t>When debugging the problem in a GUI, the programmer can try to skip some user interaction from the original problem description and check if remaining actions are sufficient for bugs to appear.</w:t>
        <w:br/>
        <w:t>One approach popular for requirements analysis is Use Case analysis.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