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Scripting and breakpointing is also part of this process.</w:t>
        <w:br/>
        <w:t>In 1801, the Jacquard loom could produce entirely different weaves by changing the "program" – a series of pasteboard cards with holes punched in them.</w:t>
        <w:br/>
        <w:t>The Unified Modeling Language (UML) is a notation used for both the OOAD and MDA.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Text editors were also developed that allowed changes and corrections to be made much more easily than with punched cards.</w:t>
        <w:br/>
        <w:t>He gave the first description of cryptanalysis by frequency analysis, the earliest code-breaking algorithm.</w:t>
        <w:br/>
        <w:t>Provided the functions in a library follow the appropriate run-time conventions (e.g., method of passing arguments), then these functions may be written in any other language.</w:t>
        <w:br/>
        <w:t>The source code of a program is written in one or more languages that are intelligible to programmers, rather than machine code, which is directly executed by the central processing unit.</w:t>
        <w:br/>
        <w:t>The choice of language used is subject to many considerations, such as company policy, suitability to task, availability of third-party packages, or individual preference.</w:t>
        <w:br/>
        <w:t>Also, specific user environment and usage history can make it difficult to reproduce the problem.</w:t>
        <w:br/>
        <w:t>Also, specific user environment and usage history can make it difficult to reproduce the problem.</w:t>
        <w:br/>
        <w:t>Many factors, having little or nothing to do with the ability of the computer to efficiently compile and execute the code, contribute to readability.</w:t>
        <w:br/>
        <w:t>Many factors, having little or nothing to do with the ability of the computer to efficiently compile and execute the code, contribute to readability.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