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Trial-and-error/divide-and-conquer is needed: the programmer will try to remove some parts of the original test case and check if the problem still exists.</w:t>
        <w:br/>
        <w:t>This is interpreted into machine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Ideally, the programming language best suited for the task at hand will be selected.</w:t>
        <w:br/>
        <w:t>In the 9th century, the Arab mathematician Al-Kindi described a cryptographic algorithm for deciphering encrypted code, in A Manuscript on Deciphering Cryptographic Messages.</w:t>
        <w:br/>
        <w:t>The choice of language used is subject to many considerations, such as company policy, suitability to task, availability of third-party packages, or individual preference.</w:t>
        <w:br/>
        <w:t>There exist a lot of different approaches for each of those tasks.</w:t>
        <w:br/>
        <w:t>To produce machine code, the source code must either be compiled or transpiled.</w:t>
        <w:br/>
        <w:t>Text editors were also developed that allowed changes and corrections to be made much more easily than with punched cards.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Text editors were also developed that allowed changes and corrections to be made much more easily than with punched cards.</w:t>
        <w:br/>
        <w:t xml:space="preserve"> Different programming languages support different styles of programming (called programming paradigms).</w:t>
        <w:br/>
        <w:t>The choice of language used is subject to many considerations, such as company policy, suitability to task, availability of third-party packages, or individual preference.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