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The choice of language used is subject to many considerations, such as company policy, suitability to task, availability of third-party packages, or individual preference.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Transpiling on the other hand, takes the source-code from a high-level programming language and converts it into bytecode.</w:t>
        <w:br/>
        <w:t>Scripting and breakpointing is also part of this process.</w:t>
        <w:br/>
        <w:t>Unreadable code often leads to bugs, inefficiencies, and duplicated code.</w:t>
        <w:br/>
        <w:t>Also, specific user environment and usage history can make it difficult to reproduce the problem.</w:t>
        <w:br/>
        <w:t>Use of a static code analysis tool can help detect some possible problems.</w:t>
        <w:br/>
        <w:t>A study found that a few simple readability transformations made code shorter and drastically reduced the time to understand it.</w:t>
        <w:br/>
        <w:t xml:space="preserve"> Code-breaking algorithms have also existed for centuries.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Use of a static code analysis tool can help detect some possible problems.</w:t>
        <w:br/>
        <w:t xml:space="preserve"> Various visual programming languages have also been developed with the intent to resolve readability concerns by adopting non-traditional approaches to code structure and display.</w:t>
        <w:br/>
        <w:t>The choice of language used is subject to many considerations, such as company policy, suitability to task, availability of third-party packages, or individual preference.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