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Many factors, having little or nothing to do with the ability of the computer to efficiently compile and execute the code, contribute to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Compiling takes the source code from a low-level programming language and converts it into machine code.</w:t>
        <w:br/>
        <w:t>They are the building blocks for all software, from the simplest applications to the most sophisticated ones.</w:t>
        <w:br/>
        <w:t>However, because an assembly language is little more than a different notation for a machine language,  two machines with different instruction sets also have different assembly languages.</w:t>
        <w:br/>
        <w:t>The choice of language used is subject to many considerations, such as company policy, suitability to task, availability of third-party packages, or individual preference.</w:t>
        <w:br/>
        <w:t>Compilers harnessed the power of computers to make programming easier by allowing programmers to specify calculations by entering a formula using infix notation.</w:t>
        <w:br/>
        <w:t>Also, specific user environment and usage history can make it difficult to reproduce the problem.</w:t>
        <w:br/>
        <w:t xml:space="preserve"> Implementation techniques include imperative languages (object-oriented or procedural), functional languages, and logic languages.</w:t>
        <w:br/>
        <w:t xml:space="preserve"> Various visual programming languages have also been developed with the intent to resolve readability concerns by adopting non-traditional approaches to code structure and display.</w:t>
        <w:br/>
        <w:t>Programming languages are essential for software development.</w:t>
        <w:br/>
        <w:t>Relatedly, software engineering combines engineering techniques and principles with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