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However, with the concept of the stored-program computer introduced in 1949, both programs and data were stored and manipulated in the same way in computer memory.</w:t>
        <w:br/>
        <w:t>Compiling takes the source code from a low-level programming language and converts it into machine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Text editors were also developed that allowed changes and corrections to be made much more easily than with punched cards.</w:t>
        <w:br/>
        <w:t>Expert programmers are familiar with a variety of well-established algorithms and their respective complexities and use this knowledge to choose algorithms that are best suited to the circumstances.</w:t>
        <w:br/>
        <w:t>It affects the aspects of quality above, including portability, usability and most importantly maintainability.</w:t>
        <w:br/>
        <w:t>When debugging the problem in a GUI, the programmer can try to skip some user interaction from the original problem description and check if remaining actions are sufficient for bugs to appear.</w:t>
        <w:br/>
        <w:t>For this purpose, algorithms are classified into orders using so-called Big O notation, which expresses resource use, such as execution time or memory consumption, in terms of the size of an input.</w:t>
        <w:br/>
        <w:t>This is interpreted into machine code.</w:t>
        <w:br/>
        <w:t>When debugging the problem in a GUI, the programmer can try to skip some user interaction from the original problem description and check if remaining actions are sufficient for bugs to appear.</w:t>
        <w:br/>
        <w:t xml:space="preserve"> It is very difficult to determine what are the most popular modern programming languages.</w:t>
        <w:br/>
        <w:t>As early as the 9th century, a programmable music sequencer was invented by the Persian Banu Musa brothers, who described an automated mechanical flute player in the Book of Ingenious Devices.</w:t>
        <w:br/>
        <w:t>Techniques like Code refactoring can enhance readability.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