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In 1206, the Arab engineer Al-Jazari invented a programmable drum machine where a musical mechanical automaton could be made to play different rhythms and drum patterns, via pegs and cams.</w:t>
        <w:br/>
        <w:t>Scripting and breakpointing is also part of this process.</w:t>
        <w:br/>
        <w:t>This is interpreted into machine code.</w:t>
        <w:br/>
        <w:t>Use of a static code analysis tool can help detect some possible problems.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choice of language used is subject to many considerations, such as company policy, suitability to task, availability of third-party packages, or individual preference.</w:t>
        <w:br/>
        <w:t>Techniques like Code refactoring can enhance readability.</w:t>
        <w:br/>
        <w:t xml:space="preserve"> Whatever the approach to development may be, the final program must satisfy some fundamental properties.</w:t>
        <w:br/>
        <w:t xml:space="preserve"> Debugging is often done with IDEs. Standalone debuggers like GDB are also used, and these often provide less of a visual environment, usually using a command line.</w:t>
        <w:br/>
        <w:t>Many factors, having little or nothing to do with the ability of the computer to efficiently compile and execute the code, contribute to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The Unified Modeling Language (UML) is a notation used for both the OOAD and MDA.</w:t>
        <w:br/>
        <w:t>They are the building blocks for all software, from the simplest applications to the most sophisticated ones.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