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Compilers harnessed the power of computers to make programming easier by allowing programmers to specify calculations by entering a formula using infix notation.</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Ideally, the programming language best suited for the task at hand will be selected.</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 xml:space="preserve"> Implementation techniques include imperative languages (object-oriented or procedural), functional languages, and logic languages.</w:t>
        <w:br/>
        <w:t>Unreadable code often leads to bugs, inefficiencies, and duplicated code.</w:t>
        <w:br/>
        <w:t>For example, COBOL is still strong in corporate data centers often on large mainframe computers, Fortran in engineering applications, scripting languages in Web development, and C in embedded software.</w:t>
        <w:br/>
        <w:t>In 1206, the Arab engineer Al-Jazari invented a programmable drum machine where a musical mechanical automaton could be made to play different rhythms and drum patterns, via pegs and cams.</w:t>
        <w:br/>
        <w:t>Integrated development environments (IDEs) aim to integrate all such help.</w:t>
        <w:br/>
        <w:t>The choice of language used is subject to many considerations, such as company policy, suitability to task, availability of third-party packages, or individual preference.</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