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COBOL is still strong in corporate data centers often on large mainframe computers, Fortran in engineering applications, scripting languages in Web development, and C in embedded software.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He gave the first description of cryptanalysis by frequency analysis, the earliest code-breaking algorithm.</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Compiling takes the source code from a low-level programming language and converts it into machine code.</w:t>
        <w:br/>
        <w:t>Transpiling on the other hand, takes the source-code from a high-level programming language and converts it into bytecode.</w:t>
        <w:br/>
        <w:t>Assembly languages were soon developed that let the programmer specify instruction in a text format (e.g., ADD X, TOTAL), with abbreviations for each operation code and meaningful names for specifying addresses.</w:t>
        <w:br/>
        <w:t xml:space="preserve"> The first step in most formal software development processes is requirements analysis, followed by testing to determine value modeling, implementation, and failure elimination (debugging).</w:t>
        <w:br/>
        <w:t xml:space="preserve"> Readability is important because programmers spend the majority of their time reading, trying to understand, reusing and modifying existing source code, rather than writing new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