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For example, COBOL is still strong in corporate data centers often on large mainframe computers, Fortran in engineering applications, scripting languages in Web development, and C in embedded software.</w:t>
        <w:br/>
        <w:t>They are the building blocks for all software, from the simplest applications to the most sophisticated ones.</w:t>
        <w:br/>
        <w:t>Some text editors such as Emacs allow GDB to be invoked through them, to provide a visual environment.</w:t>
        <w:br/>
        <w:t>Many factors, having little or nothing to do with the ability of the computer to efficiently compile and execute the code, contribute to readability.</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When debugging the problem in a GUI, the programmer can try to skip some user interaction from the original problem description and check if remaining actions are sufficient for bugs to appear.</w:t>
        <w:b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t xml:space="preserve"> After the bug is reproduced, the input of the program may need to be simplified to make it easier to debug.</w:t>
        <w:br/>
        <w:t xml:space="preserve"> Programmable devices have existed for centuries.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