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Scripting and breakpointing is also part of this process.</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Some languages are more prone to some kinds of faults because their specification does not require compilers to perform as much checking as other languages.</w:t>
        <w:br/>
        <w:t>Languages form an approximate spectrum from "low-level" to "high-level"; "low-level" languages are typically more machine-oriented and faster to execute, whereas "high-level" languages are more abstract and easier to use but execute less quickly.</w:t>
        <w:br/>
        <w:t>However, with the concept of the stored-program computer introduced in 1949, both programs and data were stored and manipulated in the same way in computer memory.</w:t>
        <w:br/>
        <w:t>Many factors, having little or nothing to do with the ability of the computer to efficiently compile and execute the code, contribute to readability.</w:t>
        <w:br/>
        <w:t>Many programmers use forms of Agile software development where the various stages of formal software development are more integrated together into short cycles that take a few weeks rather than years.</w:t>
        <w:br/>
        <w:t>The Unified Modeling Language (UML) is a notation used for both the OOAD and MDA.</w:t>
        <w:br/>
        <w:t>Relatedly, software engineering combines engineering techniques and principles with software development.</w:t>
        <w:br/>
        <w:t xml:space="preserve"> Programmable devices have existed for centuries.</w:t>
        <w:br/>
        <w:t>Use of a static code analysis tool can help detect some possible problems.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