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this purpose, algorithms are classified into orders using so-called Big O notation, which expresses resource use, such as execution time or memory consumption, in terms of the size of an input.</w:t>
        <w:br/>
        <w:t>This is interpreted into machine code.</w:t>
        <w:br/>
        <w:t>Also, specific user environment and usage history can make it difficult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Charles Babbage had already written his first program for the Analytical Engine in 1837.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t>As early as the 9th century, a programmable music sequencer was invented by the Persian Banu Musa brothers, who described an automated mechanical flute player in the Book of Ingenious Devices.</w:t>
        <w:br/>
        <w:t>This can be a non-trivial task, for example as with parallel processes or some unusual software bugs.</w:t>
        <w:br/>
        <w:t>Unreadable code often leads to bugs, inefficiencies, and duplicated code.</w:t>
        <w:br/>
        <w:t xml:space="preserve"> Various visual programming languages have also been developed with the intent to resolve readability concerns by adopting non-traditional approaches to code structure and display.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