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However, Charles Babbage had already written his first program for the Analytical Engine in 1837.</w:t>
        <w:br/>
        <w:t>Provided the functions in a library follow the appropriate run-time conventions (e.g., method of passing arguments), then these functions may be written in any other language.</w:t>
        <w:br/>
        <w:t>One approach popular for requirements analysis is Use Case analysis.</w:t>
        <w:br/>
        <w:t>They are the building blocks for all software, from the simplest applications to the most sophisticated ones.</w:t>
        <w:br/>
        <w:t>Transpiling on the other hand, takes the source-code from a high-level programming language and converts it into bytecode.</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Provided the functions in a library follow the appropriate run-time conventions (e.g., method of passing arguments), then these functions may be written in any other language.</w:t>
        <w:br/>
        <w:t>In 1801, the Jacquard loom could produce entirely different weaves by changing the "program" – a series of pasteboard cards with holes punched in them.</w:t>
        <w:br/>
        <w:t>Some languages are more prone to some kinds of faults because their specification does not require compilers to perform as much checking as other languages.</w:t>
        <w:br/>
        <w:t>Trade-offs from this ideal involve finding enough programmers who know the language to build a team, the availability of compilers for that language, and the efficiency with which programs written in a given language execute.</w:t>
        <w:br/>
        <w:t>However, readability is more than just programming style.</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