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However, because an assembly language is little more than a different notation for a machine language,  two machines with different instruction sets also have different assembly languages.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