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One approach popular for requirements analysis is Use Case analysis.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text editors such as Emacs allow GDB to be invoked through them, to provide a visual environment.</w:t>
        <w:br/>
        <w:t>For example, COBOL is still strong in corporate data centers often on large mainframe computers, Fortran in engineering applications, scripting languages in Web development, and C in embedded software.</w:t>
        <w:br/>
        <w:t>The choice of language used is subject to many considerations, such as company policy, suitability to task, availability of third-party packages, or individual preference.</w:t>
        <w:br/>
        <w:t>The source code of a program is written in one or more languages that are intelligible to programmers, rather than machine code, which is directly executed by the central processing unit.</w:t>
        <w:br/>
        <w:t>It is usually easier to code in "high-level" languages than in "low-level" ones.</w:t>
        <w:br/>
        <w:t>Integrated development environments (IDEs) aim to integrate all such help.</w:t>
        <w:br/>
        <w:t xml:space="preserve"> It is very difficult to determine what are the most popular modern programming languages.</w:t>
        <w:br/>
        <w:t>Languages form an approximate spectrum from "low-level" to "high-level"; "low-level" languages are typically more machine-oriented and faster to execute, whereas "high-level" languages are more abstract and easier to use but execute less quickly.</w:t>
        <w:br/>
        <w:t>As early as the 9th century, a programmable music sequencer was invented by the Persian Banu Musa brothers, who described an automated mechanical flute player in the Book of Ingenious Devices.</w:t>
        <w:br/>
        <w:t>To produce machine code, the source code must either be compiled or transpiled.</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