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approach popular for requirements analysis is Use Case analysis.</w:t>
        <w:br/>
        <w:t>The choice of language used is subject to many considerations, such as company policy, suitability to task, availability of third-party packages, or individual preference.</w:t>
        <w:br/>
        <w:t>However, Charles Babbage had already written his first program for the Analytical Engine in 1837.</w:t>
        <w:br/>
        <w:t>The Unified Modeling Language (UML) is a notation used for both the OOAD and MDA.</w:t>
        <w:br/>
        <w:t>Some languages are more prone to some kinds of faults because their specification does not require compilers to perform as much checking as other languages.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For this purpose, algorithms are classified into orders using so-called Big O notation, which expresses resource use, such as execution time or memory consumption, in terms of the size of an input.</w:t>
        <w:br/>
        <w:t>Proficient programming thus usually requires expertise in several different subjects, including knowledge of the application domain, specialized algorithms, and formal logic.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As early as the 9th century, a programmable music sequencer was invented by the Persian Banu Musa brothers, who described an automated mechanical flute player in the Book of Ingenious Devices.</w:t>
        <w:br/>
        <w:t>Ideally, the programming language best suited for the task at hand will be selected.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There are many approaches to the Software development process.</w:t>
        <w:br/>
        <w:t>However, readability is more than just programming style.</w:t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