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Text editors were also developed that allowed changes and corrections to be made much more easily than with punched cards.</w:t>
        <w:br/>
        <w:t>There are many approaches to the Software development process.</w:t>
        <w:br/>
        <w:t>However, because an assembly language is little more than a different notation for a machine language,  two machines with different instruction sets also have different assembly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Expert programmers are familiar with a variety of well-established algorithms and their respective complexities and use this knowledge to choose algorithms that are best suited to the circumstances.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following properties are among the most important:</w:t>
        <w:br/>
        <w:br/>
        <w:t xml:space="preserve"> In computer programming, readability refers to the ease with which a human reader can comprehend the purpose, control flow, and operation of source code.</w:t>
        <w:br/>
        <w:t>Many applications use a mix of several languages in their construction and use.</w:t>
        <w:br/>
        <w:t>Some languages are more prone to some kinds of faults because their specification does not require compilers to perform as much checking as other languages.</w:t>
        <w:br/>
        <w:t>One approach popular for requirements analysis is Use Case analysis.</w:t>
        <w:br/>
        <w:t xml:space="preserve"> Different programming languages support different styles of programming (called programming paradigms).</w:t>
        <w:br/>
        <w:t>The choice of language used is subject to many considerations, such as company policy, suitability to task, availability of third-party packages, or individual preference.</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