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This can be a non-trivial task, for example as with parallel processes or some unusual software bugs.</w:t>
        <w:br/>
        <w:t>However, readability is more than just programming style.</w:t>
        <w:br/>
        <w:t>FORTRAN, the first widely used high-level language to have a functional implementation, came out in 1957, and many other languages were soon developed—in particular, COBOL aimed at commercial data processing, and Lisp for computer research.</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To produce machine code, the source code must either be compiled or transpiled.</w:t>
        <w:br/>
        <w:t>When debugging the problem in a GUI, the programmer can try to skip some user interaction from the original problem description and check if remaining actions are sufficient for bugs to appear.</w:t>
        <w:br/>
        <w:t>By the late 1960s, data storage devices and computer terminals became inexpensive enough that programs could be created by typing directly into the computers.</w:t>
        <w:br/>
        <w:t>It affects the aspects of quality above, including portability, usability and most importantly maintainability.</w:t>
        <w:br/>
        <w:t>The Unified Modeling Language (UML) is a notation used for both the OOAD and MDA.</w:t>
        <w:br/>
        <w:t>Some languages are more prone to some kinds of faults because their specification does not require compilers to perform as much checking as other languages.</w:t>
        <w:br/>
        <w:t>The Unified Modeling Language (UML) is a notation used for both the OOAD and MDA.</w:t>
        <w:br/>
        <w:t xml:space="preserve"> Code-breaking algorithms have also existed for centuries.</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This can be a non-trivial task, for example as with parallel processes or some unusual software bugs.</w:t>
        <w:br/>
        <w:t>Use of a static code analysis tool can help detect some possible problems.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