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The choice of language used is subject to many considerations, such as company policy, suitability to task, availability of third-party packages, or individual preference.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1206, the Arab engineer Al-Jazari invented a programmable drum machine where a musical mechanical automaton could be made to play different rhythms and drum patterns, via pegs and cams.</w:t>
        <w:br/>
        <w:t>One approach popular for requirements analysis is Use Case analysis.</w:t>
        <w:br/>
        <w:t>However, Charles Babbage had already written his first program for the Analytical Engine in 1837.</w:t>
        <w:br/>
        <w:t>Also, specific user environment and usage history can make it difficult to reproduce the problem.</w:t>
        <w:br/>
        <w:t>Unreadable code often leads to bugs, inefficiencies, and duplicated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Trial-and-error/divide-and-conquer is needed: the programmer will try to remove some parts of the original test case and check if the problem still exists.</w:t>
        <w:br/>
        <w:t>There exist a lot of different approaches for each of those tasks.</w:t>
        <w:br/>
        <w:t>Many applications use a mix of several languages in their construction and use.</w:t>
        <w:br/>
        <w:t>Provided the functions in a library follow the appropriate run-time conventions (e.g., method of passing arguments), then these functions may be written in any other language.</w:t>
        <w:br/>
        <w:t>By the late 1960s, data storage devices and computer terminals became inexpensive enough that programs could be created by typing directly into the computers.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