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It affects the aspects of quality above, including portability, usability and most importantly maintainability.</w:t>
        <w:br/>
        <w:t>Ideally, the programming language best suited for the task at hand will be selected.</w:t>
        <w:br/>
        <w:t>Provided the functions in a library follow the appropriate run-time conventions (e.g., method of passing arguments), then these functions may be written in any other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He gave the first description of cryptanalysis by frequency analysis, the earliest code-breaking algorithm.</w:t>
        <w:br/>
        <w:t>Some text editors such as Emacs allow GDB to be invoked through them, to provide a visual environment.</w:t>
        <w:br/>
        <w:t>For example, COBOL is still strong in corporate data centers often on large mainframe computers, Fortran in engineering applications, scripting languages in Web development, and C in embedded software.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factors, having little or nothing to do with the ability of the computer to efficiently compile and execute the code, contribute to readability.</w:t>
        <w:br/>
        <w:t>A study found that a few simple readability transformations made code shorter and drastically reduced the time to understand it.</w:t>
        <w:br/>
        <w:t>However, readability is more than just programming style.</w:t>
        <w:br/>
        <w:t xml:space="preserve"> Code-breaking algorithms have also existed for centuries.</w:t>
        <w:br/>
        <w:t>Compilers harnessed the power of computers to make programming easier by allowing programmers to specify calculations by entering a formula using infix notation.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