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Trade-offs from this ideal involve finding enough programmers who know the language to build a team, the availability of compilers for that language, and the efficiency with which programs written in a given language execute.</w:t>
        <w:br/>
        <w:t>There exist a lot of different approaches for each of those tasks.</w:t>
        <w:br/>
        <w:t>For this purpose, algorithms are classified into orders using so-called Big O notation, which expresses resource use, such as execution time or memory consumption, in terms of the size of an input.</w:t>
        <w:br/>
        <w:t>Relatedly, software engineering combines engineering techniques and principles with software development.</w:t>
        <w:br/>
        <w:t>Techniques like Code refactoring can enhance readability.</w:t>
        <w:br/>
        <w:t>In the 9th century, the Arab mathematician Al-Kindi described a cryptographic algorithm for deciphering encrypted code, in A Manuscript on Deciphering Cryptographic Messages.</w:t>
        <w:br/>
        <w:t>They are the building blocks for all software, from the simplest applications to the most sophisticated ones.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However, with the concept of the stored-program computer introduced in 1949, both programs and data were stored and manipulated in the same way in computer memory.</w:t>
        <w:br/>
        <w:t>Transpiling on the other hand, takes the source-code from a high-level programming language and converts it into bytecode.</w:t>
        <w:br/>
        <w:t>This is interpreted into machine code.</w:t>
        <w:br/>
        <w:t>Use of a static code analysis tool can help detect some possible problems.</w:t>
        <w:br/>
        <w:t>However, readability is more than just programming style.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>The choice of language used is subject to many considerations, such as company policy, suitability to task, availability of third-party packages, or individual preference.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